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EB7D3E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EB7D3E">
        <w:rPr>
          <w:color w:val="000000" w:themeColor="text1"/>
        </w:rPr>
        <w:t>12 октября</w:t>
      </w:r>
      <w:r w:rsidR="00D10FA4">
        <w:rPr>
          <w:color w:val="000000" w:themeColor="text1"/>
        </w:rPr>
        <w:t xml:space="preserve"> </w:t>
      </w:r>
      <w:r>
        <w:rPr>
          <w:color w:val="000000" w:themeColor="text1"/>
        </w:rPr>
        <w:t>202</w:t>
      </w:r>
      <w:r w:rsidR="00FF58DF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EB7D3E">
        <w:rPr>
          <w:color w:val="000000" w:themeColor="text1"/>
        </w:rPr>
        <w:t>75</w:t>
      </w:r>
      <w:r w:rsidR="004229E8">
        <w:rPr>
          <w:color w:val="000000" w:themeColor="text1"/>
        </w:rPr>
        <w:t>/</w:t>
      </w:r>
      <w:r w:rsidR="00EB7D3E">
        <w:rPr>
          <w:color w:val="000000" w:themeColor="text1"/>
        </w:rPr>
        <w:t>575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B1322" w:rsidRDefault="00AA23E5" w:rsidP="005653D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rStyle w:val="a7"/>
          <w:sz w:val="28"/>
          <w:szCs w:val="28"/>
        </w:rPr>
        <w:t>о</w:t>
      </w:r>
      <w:r w:rsidR="005B1322">
        <w:rPr>
          <w:rStyle w:val="a7"/>
          <w:sz w:val="28"/>
          <w:szCs w:val="28"/>
        </w:rPr>
        <w:t xml:space="preserve"> проведении</w:t>
      </w:r>
      <w:r w:rsidR="005653DA">
        <w:rPr>
          <w:rStyle w:val="a7"/>
          <w:sz w:val="28"/>
          <w:szCs w:val="28"/>
        </w:rPr>
        <w:t xml:space="preserve"> правовой</w:t>
      </w:r>
      <w:r w:rsidR="005B1322">
        <w:rPr>
          <w:rStyle w:val="a7"/>
          <w:sz w:val="28"/>
          <w:szCs w:val="28"/>
        </w:rPr>
        <w:t xml:space="preserve"> </w:t>
      </w:r>
      <w:r w:rsidR="005B1322">
        <w:rPr>
          <w:b/>
          <w:sz w:val="28"/>
          <w:szCs w:val="28"/>
        </w:rPr>
        <w:t xml:space="preserve">игры </w:t>
      </w:r>
      <w:r w:rsidR="005653DA">
        <w:rPr>
          <w:b/>
          <w:sz w:val="28"/>
          <w:szCs w:val="28"/>
        </w:rPr>
        <w:t>«Избирательное право»</w:t>
      </w:r>
      <w:r w:rsidR="005B1322">
        <w:rPr>
          <w:b/>
          <w:sz w:val="28"/>
          <w:szCs w:val="28"/>
        </w:rPr>
        <w:t xml:space="preserve"> среди учащихся общеобразовательных и профессиональных образовательных учреждений Кемеровской области – Кузбасса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 xml:space="preserve">Настоящее </w:t>
      </w:r>
      <w:r w:rsidR="00AA23E5">
        <w:rPr>
          <w:rFonts w:ascii="Times New Roman" w:hAnsi="Times New Roman"/>
          <w:sz w:val="28"/>
          <w:szCs w:val="28"/>
        </w:rPr>
        <w:t>П</w:t>
      </w:r>
      <w:r w:rsidRPr="00982626">
        <w:rPr>
          <w:rFonts w:ascii="Times New Roman" w:hAnsi="Times New Roman"/>
          <w:sz w:val="28"/>
          <w:szCs w:val="28"/>
        </w:rPr>
        <w:t xml:space="preserve">оложение определяет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492D29">
        <w:rPr>
          <w:rFonts w:ascii="Times New Roman" w:hAnsi="Times New Roman"/>
          <w:sz w:val="28"/>
          <w:szCs w:val="28"/>
        </w:rPr>
        <w:t xml:space="preserve"> проведения правовой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 w:rsidR="005B1322">
        <w:rPr>
          <w:rFonts w:ascii="Times New Roman" w:hAnsi="Times New Roman"/>
          <w:sz w:val="28"/>
          <w:szCs w:val="28"/>
        </w:rPr>
        <w:t>игры «</w:t>
      </w:r>
      <w:r w:rsidR="00492D29">
        <w:rPr>
          <w:rFonts w:ascii="Times New Roman" w:hAnsi="Times New Roman"/>
          <w:sz w:val="28"/>
          <w:szCs w:val="28"/>
        </w:rPr>
        <w:t>Избирательное право</w:t>
      </w:r>
      <w:r w:rsidR="00AA23E5">
        <w:rPr>
          <w:rFonts w:ascii="Times New Roman" w:hAnsi="Times New Roman"/>
          <w:sz w:val="28"/>
          <w:szCs w:val="28"/>
        </w:rPr>
        <w:t>»</w:t>
      </w:r>
      <w:r w:rsidR="005B1322">
        <w:rPr>
          <w:rFonts w:ascii="Times New Roman" w:hAnsi="Times New Roman"/>
          <w:sz w:val="28"/>
          <w:szCs w:val="28"/>
        </w:rPr>
        <w:t xml:space="preserve"> среди учащихся </w:t>
      </w:r>
      <w:r w:rsidR="00D10FA4">
        <w:rPr>
          <w:rFonts w:ascii="Times New Roman" w:hAnsi="Times New Roman"/>
          <w:sz w:val="28"/>
          <w:szCs w:val="28"/>
        </w:rPr>
        <w:t>обще</w:t>
      </w:r>
      <w:r w:rsidR="005B1322">
        <w:rPr>
          <w:rFonts w:ascii="Times New Roman" w:hAnsi="Times New Roman"/>
          <w:sz w:val="28"/>
          <w:szCs w:val="28"/>
        </w:rPr>
        <w:t>образовательных и профессиональных образовательных учреждений  Кемеровской области</w:t>
      </w:r>
      <w:r w:rsidR="000E67D8">
        <w:rPr>
          <w:rFonts w:ascii="Times New Roman" w:hAnsi="Times New Roman" w:cs="Times New Roman"/>
          <w:sz w:val="28"/>
          <w:szCs w:val="28"/>
        </w:rPr>
        <w:t xml:space="preserve"> </w:t>
      </w:r>
      <w:r w:rsidR="005B1322">
        <w:rPr>
          <w:rFonts w:ascii="Times New Roman" w:hAnsi="Times New Roman" w:cs="Times New Roman"/>
          <w:sz w:val="28"/>
          <w:szCs w:val="28"/>
        </w:rPr>
        <w:t xml:space="preserve">– Кузбасса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92D29">
        <w:rPr>
          <w:rFonts w:ascii="Times New Roman" w:hAnsi="Times New Roman"/>
          <w:sz w:val="28"/>
          <w:szCs w:val="28"/>
        </w:rPr>
        <w:t xml:space="preserve">правовая </w:t>
      </w:r>
      <w:r w:rsidR="00D2456A">
        <w:rPr>
          <w:rFonts w:ascii="Times New Roman" w:hAnsi="Times New Roman"/>
          <w:sz w:val="28"/>
          <w:szCs w:val="28"/>
        </w:rPr>
        <w:t>игра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правовой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492D29">
        <w:rPr>
          <w:rFonts w:ascii="Times New Roman" w:hAnsi="Times New Roman"/>
          <w:b/>
          <w:sz w:val="28"/>
          <w:szCs w:val="28"/>
        </w:rPr>
        <w:t xml:space="preserve"> правовой </w:t>
      </w:r>
      <w:r w:rsidR="00AC6F73">
        <w:rPr>
          <w:rFonts w:ascii="Times New Roman" w:hAnsi="Times New Roman"/>
          <w:b/>
          <w:sz w:val="28"/>
          <w:szCs w:val="28"/>
        </w:rPr>
        <w:t>игры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Правовая </w:t>
      </w:r>
      <w:r w:rsidR="00492D29">
        <w:rPr>
          <w:rFonts w:ascii="Times New Roman" w:hAnsi="Times New Roman"/>
          <w:sz w:val="28"/>
          <w:szCs w:val="28"/>
        </w:rPr>
        <w:t>и</w:t>
      </w:r>
      <w:r w:rsidR="00D2456A">
        <w:rPr>
          <w:rFonts w:ascii="Times New Roman" w:hAnsi="Times New Roman"/>
          <w:sz w:val="28"/>
          <w:szCs w:val="28"/>
        </w:rPr>
        <w:t>гра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правовой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="008326E5">
        <w:rPr>
          <w:color w:val="auto"/>
          <w:sz w:val="28"/>
          <w:szCs w:val="28"/>
        </w:rPr>
        <w:t xml:space="preserve"> путе</w:t>
      </w:r>
      <w:r w:rsidRPr="003979D8">
        <w:rPr>
          <w:color w:val="auto"/>
          <w:sz w:val="28"/>
          <w:szCs w:val="28"/>
        </w:rPr>
        <w:t xml:space="preserve">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492D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правовой </w:t>
      </w:r>
      <w:r w:rsidR="00D245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игры</w:t>
      </w:r>
    </w:p>
    <w:p w:rsidR="00643024" w:rsidRPr="00996E66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профессиональных образовательных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учреждений </w:t>
      </w:r>
      <w:r w:rsidR="005B1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832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492D29">
        <w:rPr>
          <w:rFonts w:ascii="Times New Roman" w:hAnsi="Times New Roman"/>
          <w:b/>
          <w:sz w:val="28"/>
          <w:szCs w:val="28"/>
        </w:rPr>
        <w:t xml:space="preserve"> правовой </w:t>
      </w:r>
      <w:r w:rsidR="00D2456A">
        <w:rPr>
          <w:rFonts w:ascii="Times New Roman" w:hAnsi="Times New Roman"/>
          <w:b/>
          <w:sz w:val="28"/>
          <w:szCs w:val="28"/>
        </w:rPr>
        <w:t>игры</w:t>
      </w:r>
    </w:p>
    <w:p w:rsidR="00553BBF" w:rsidRPr="00EE4D25" w:rsidRDefault="00553BBF" w:rsidP="00B15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Правовая </w:t>
      </w:r>
      <w:r w:rsidR="00492D29">
        <w:rPr>
          <w:rFonts w:ascii="Times New Roman" w:hAnsi="Times New Roman"/>
          <w:sz w:val="28"/>
          <w:szCs w:val="28"/>
        </w:rPr>
        <w:t>и</w:t>
      </w:r>
      <w:r w:rsidR="00D2456A">
        <w:rPr>
          <w:rFonts w:ascii="Times New Roman" w:hAnsi="Times New Roman"/>
          <w:sz w:val="28"/>
          <w:szCs w:val="28"/>
        </w:rPr>
        <w:t>гра</w:t>
      </w:r>
      <w:r w:rsidR="00C37A8E">
        <w:rPr>
          <w:rFonts w:ascii="Times New Roman" w:hAnsi="Times New Roman"/>
          <w:sz w:val="28"/>
          <w:szCs w:val="28"/>
        </w:rPr>
        <w:t xml:space="preserve"> проводится</w:t>
      </w:r>
      <w:r w:rsidR="00B15FD2">
        <w:rPr>
          <w:rFonts w:ascii="Times New Roman" w:hAnsi="Times New Roman"/>
          <w:sz w:val="28"/>
          <w:szCs w:val="28"/>
        </w:rPr>
        <w:t xml:space="preserve"> в соответствии с приложением</w:t>
      </w:r>
      <w:r w:rsidR="0011680F">
        <w:rPr>
          <w:rFonts w:ascii="Times New Roman" w:hAnsi="Times New Roman"/>
          <w:sz w:val="28"/>
          <w:szCs w:val="28"/>
        </w:rPr>
        <w:t xml:space="preserve"> № </w:t>
      </w:r>
      <w:r w:rsidR="00135B33">
        <w:rPr>
          <w:rFonts w:ascii="Times New Roman" w:hAnsi="Times New Roman"/>
          <w:sz w:val="28"/>
          <w:szCs w:val="28"/>
        </w:rPr>
        <w:t>2</w:t>
      </w:r>
      <w:r w:rsidR="0016573E" w:rsidRPr="00DB675A">
        <w:rPr>
          <w:rFonts w:ascii="Times New Roman" w:hAnsi="Times New Roman" w:cs="Times New Roman"/>
        </w:rPr>
        <w:t>,</w:t>
      </w:r>
      <w:r w:rsidR="0016573E"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в период с </w:t>
      </w:r>
      <w:r w:rsidR="005B1322">
        <w:rPr>
          <w:rFonts w:ascii="Times New Roman" w:hAnsi="Times New Roman"/>
          <w:sz w:val="28"/>
          <w:szCs w:val="28"/>
        </w:rPr>
        <w:t>октября</w:t>
      </w:r>
      <w:r w:rsidR="00883316"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по </w:t>
      </w:r>
      <w:r w:rsidR="005B1322">
        <w:rPr>
          <w:rFonts w:ascii="Times New Roman" w:hAnsi="Times New Roman"/>
          <w:sz w:val="28"/>
          <w:szCs w:val="28"/>
        </w:rPr>
        <w:t>декабрь</w:t>
      </w:r>
      <w:r w:rsidR="00883316">
        <w:rPr>
          <w:rFonts w:ascii="Times New Roman" w:hAnsi="Times New Roman"/>
          <w:sz w:val="28"/>
          <w:szCs w:val="28"/>
        </w:rPr>
        <w:t xml:space="preserve"> 2023 года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>среди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 xml:space="preserve">учащихся </w:t>
      </w:r>
      <w:r w:rsidR="00883316">
        <w:rPr>
          <w:rFonts w:ascii="Times New Roman" w:hAnsi="Times New Roman"/>
          <w:sz w:val="28"/>
          <w:szCs w:val="28"/>
        </w:rPr>
        <w:lastRenderedPageBreak/>
        <w:t>обще</w:t>
      </w:r>
      <w:r w:rsidR="00D2456A">
        <w:rPr>
          <w:rFonts w:ascii="Times New Roman" w:hAnsi="Times New Roman"/>
          <w:sz w:val="28"/>
          <w:szCs w:val="28"/>
        </w:rPr>
        <w:t>образовательн</w:t>
      </w:r>
      <w:r w:rsidR="00DB675A">
        <w:rPr>
          <w:rFonts w:ascii="Times New Roman" w:hAnsi="Times New Roman"/>
          <w:sz w:val="28"/>
          <w:szCs w:val="28"/>
        </w:rPr>
        <w:t>ых</w:t>
      </w:r>
      <w:r w:rsidR="00883316">
        <w:rPr>
          <w:rFonts w:ascii="Times New Roman" w:hAnsi="Times New Roman"/>
          <w:sz w:val="28"/>
          <w:szCs w:val="28"/>
        </w:rPr>
        <w:t xml:space="preserve"> и профессиональных образовательных </w:t>
      </w:r>
      <w:r w:rsidR="00D2456A">
        <w:rPr>
          <w:rFonts w:ascii="Times New Roman" w:hAnsi="Times New Roman"/>
          <w:sz w:val="28"/>
          <w:szCs w:val="28"/>
        </w:rPr>
        <w:t>учреждени</w:t>
      </w:r>
      <w:r w:rsidR="00A8110C">
        <w:rPr>
          <w:rFonts w:ascii="Times New Roman" w:hAnsi="Times New Roman"/>
          <w:sz w:val="28"/>
          <w:szCs w:val="28"/>
        </w:rPr>
        <w:t>й</w:t>
      </w:r>
      <w:r w:rsidR="00CD4926" w:rsidRPr="00CD4926">
        <w:rPr>
          <w:rFonts w:ascii="Times New Roman" w:hAnsi="Times New Roman"/>
          <w:sz w:val="28"/>
          <w:szCs w:val="28"/>
        </w:rPr>
        <w:t xml:space="preserve"> </w:t>
      </w:r>
      <w:r w:rsidR="0011680F"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D2456A">
        <w:rPr>
          <w:rFonts w:ascii="Times New Roman" w:hAnsi="Times New Roman"/>
          <w:sz w:val="28"/>
          <w:szCs w:val="28"/>
        </w:rPr>
        <w:t>.</w:t>
      </w:r>
    </w:p>
    <w:p w:rsidR="00547931" w:rsidRPr="00996E66" w:rsidRDefault="00553BBF" w:rsidP="00996E6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Правовая и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командами.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команде выбирается капитан, он полностью руководит </w:t>
      </w:r>
      <w:r w:rsidR="00B95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командой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(опреде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ляет правильную версию ответа,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выбирает, кто будет отвечать на вопрос,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 за временем </w:t>
      </w:r>
      <w:r w:rsidR="00A73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ответ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 отводится 30 секунд). Любым из способов жеребьевки определяется команда, начинающая игру (первая коман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да). На экране демонстрируется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интерактивный кроссворд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содержащ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43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35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оманда </w:t>
      </w:r>
      <w:r w:rsidR="00492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начинающая игру приступает к </w:t>
      </w:r>
      <w:r w:rsidR="00135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ответу на первый вопрос, затем право ответа переходит ко второй команде (не зависимо от правильности ответа), команды отвечают на вопросы поочередно. 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команда дает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ответ, то на ее счет зачис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</w:t>
      </w:r>
      <w:r w:rsidR="00135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</w:t>
      </w:r>
      <w:r w:rsidR="00135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балл, если ошибается  или не знает ответа, то в оценочном листе  (</w:t>
      </w:r>
      <w:r w:rsidR="00E47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135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1) ставится  отметка ноль баллов.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игры подсчитываются баллы</w:t>
      </w:r>
      <w:r w:rsidR="00116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оценочным листом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побеж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дает команда, набравшая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количество баллов.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="00514839">
        <w:rPr>
          <w:rFonts w:ascii="Times New Roman" w:hAnsi="Times New Roman"/>
          <w:b/>
          <w:sz w:val="28"/>
          <w:szCs w:val="28"/>
        </w:rPr>
        <w:t>победителей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AA23E5">
        <w:rPr>
          <w:rFonts w:ascii="Times New Roman" w:hAnsi="Times New Roman"/>
          <w:b/>
          <w:sz w:val="28"/>
          <w:szCs w:val="28"/>
        </w:rPr>
        <w:t>правовой игры</w:t>
      </w:r>
    </w:p>
    <w:p w:rsidR="00CD4926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B15FD2">
        <w:rPr>
          <w:rFonts w:ascii="Times New Roman" w:hAnsi="Times New Roman"/>
          <w:spacing w:val="2"/>
          <w:sz w:val="28"/>
          <w:szCs w:val="28"/>
        </w:rPr>
        <w:t>Победители награждаются 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135B33">
        <w:rPr>
          <w:rFonts w:ascii="Times New Roman" w:hAnsi="Times New Roman"/>
          <w:spacing w:val="2"/>
          <w:sz w:val="28"/>
          <w:szCs w:val="28"/>
        </w:rPr>
        <w:t>бутылка</w:t>
      </w:r>
      <w:r w:rsidR="00B15FD2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476EDC">
        <w:rPr>
          <w:rFonts w:ascii="Times New Roman" w:hAnsi="Times New Roman"/>
          <w:spacing w:val="2"/>
          <w:sz w:val="28"/>
          <w:szCs w:val="28"/>
        </w:rPr>
        <w:t xml:space="preserve">с символикой  </w:t>
      </w:r>
      <w:r w:rsidR="00B15FD2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Кузбасса.</w:t>
      </w:r>
      <w:r w:rsidR="0051483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626A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996E66" w:rsidRDefault="00996E66" w:rsidP="00B15FD2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sz w:val="28"/>
          <w:szCs w:val="28"/>
        </w:rPr>
      </w:pPr>
    </w:p>
    <w:p w:rsidR="00996E66" w:rsidRDefault="00996E66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z w:val="28"/>
          <w:szCs w:val="28"/>
        </w:rPr>
      </w:pPr>
    </w:p>
    <w:p w:rsidR="0011680F" w:rsidRDefault="0011680F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  <w:sectPr w:rsidR="0011680F" w:rsidSect="00D57AE5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e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11680F" w:rsidTr="00135B33">
        <w:tc>
          <w:tcPr>
            <w:tcW w:w="4501" w:type="dxa"/>
          </w:tcPr>
          <w:p w:rsidR="006D35B1" w:rsidRDefault="006D35B1" w:rsidP="006D35B1">
            <w:pPr>
              <w:pStyle w:val="a3"/>
              <w:spacing w:before="0" w:beforeAutospacing="0" w:after="0" w:afterAutospacing="0"/>
              <w:ind w:firstLine="709"/>
              <w:jc w:val="center"/>
            </w:pPr>
            <w:r>
              <w:lastRenderedPageBreak/>
              <w:t>Приложение №</w:t>
            </w:r>
            <w:r w:rsidR="00135B33">
              <w:t xml:space="preserve"> </w:t>
            </w:r>
            <w:r w:rsidR="00D57AE5">
              <w:t>1</w:t>
            </w:r>
            <w:r>
              <w:t xml:space="preserve"> </w:t>
            </w:r>
          </w:p>
          <w:p w:rsidR="0011680F" w:rsidRPr="0011680F" w:rsidRDefault="0011680F" w:rsidP="00135B33">
            <w:pPr>
              <w:pStyle w:val="a3"/>
              <w:spacing w:before="0" w:beforeAutospacing="0" w:after="0" w:afterAutospacing="0"/>
              <w:ind w:firstLine="709"/>
              <w:jc w:val="center"/>
            </w:pPr>
            <w:r w:rsidRPr="0011680F">
              <w:t xml:space="preserve"> к положению о проведении</w:t>
            </w:r>
            <w:r w:rsidR="00135B33">
              <w:t xml:space="preserve"> правовой игры </w:t>
            </w:r>
            <w:r w:rsidRPr="0011680F">
              <w:t>«</w:t>
            </w:r>
            <w:r w:rsidR="00135B33">
              <w:t>Избирательное право</w:t>
            </w:r>
            <w:r w:rsidR="00B952E3">
              <w:t>»</w:t>
            </w:r>
            <w:r w:rsidRPr="0011680F">
              <w:t xml:space="preserve"> среди учащихся общеобразовательных и профессиональных образовательных учреждений Кемеровской области – Кузбасса</w:t>
            </w:r>
          </w:p>
          <w:p w:rsidR="0011680F" w:rsidRDefault="0011680F" w:rsidP="00B7711A">
            <w:pPr>
              <w:spacing w:line="360" w:lineRule="auto"/>
              <w:ind w:right="-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6E66" w:rsidRDefault="00996E66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команд</w:t>
      </w:r>
      <w:r w:rsidR="00433F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участвующих в</w:t>
      </w:r>
      <w:r w:rsidR="00135B33">
        <w:rPr>
          <w:b/>
          <w:sz w:val="28"/>
          <w:szCs w:val="28"/>
        </w:rPr>
        <w:t xml:space="preserve"> правовой</w:t>
      </w:r>
      <w:r>
        <w:rPr>
          <w:b/>
          <w:sz w:val="28"/>
          <w:szCs w:val="28"/>
        </w:rPr>
        <w:t xml:space="preserve"> игре  «</w:t>
      </w:r>
      <w:r w:rsidR="00135B33">
        <w:rPr>
          <w:b/>
          <w:sz w:val="28"/>
          <w:szCs w:val="28"/>
        </w:rPr>
        <w:t>Избирательное право</w:t>
      </w:r>
      <w:r w:rsidR="00B952E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среди учащихся общеобразовательных и профессиональных образовательных учреждений</w:t>
      </w: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Кемеровской области – Кузбасса</w:t>
      </w: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2445"/>
        <w:gridCol w:w="1915"/>
      </w:tblGrid>
      <w:tr w:rsidR="000861F3" w:rsidTr="000861F3">
        <w:tc>
          <w:tcPr>
            <w:tcW w:w="11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861F3" w:rsidRDefault="000861F3" w:rsidP="000861F3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команд </w:t>
            </w: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861F3" w:rsidTr="000861F3">
        <w:trPr>
          <w:trHeight w:val="363"/>
        </w:trPr>
        <w:tc>
          <w:tcPr>
            <w:tcW w:w="11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rPr>
          <w:trHeight w:val="70"/>
        </w:trPr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17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35B1" w:rsidRPr="00A51083" w:rsidRDefault="006D35B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sectPr w:rsidR="006D35B1" w:rsidRPr="00A51083" w:rsidSect="005819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1F" w:rsidRDefault="00A5071F" w:rsidP="000B7097">
      <w:pPr>
        <w:spacing w:after="0" w:line="240" w:lineRule="auto"/>
      </w:pPr>
      <w:r>
        <w:separator/>
      </w:r>
    </w:p>
  </w:endnote>
  <w:endnote w:type="continuationSeparator" w:id="0">
    <w:p w:rsidR="00A5071F" w:rsidRDefault="00A5071F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1F" w:rsidRDefault="00A5071F" w:rsidP="000B7097">
      <w:pPr>
        <w:spacing w:after="0" w:line="240" w:lineRule="auto"/>
      </w:pPr>
      <w:r>
        <w:separator/>
      </w:r>
    </w:p>
  </w:footnote>
  <w:footnote w:type="continuationSeparator" w:id="0">
    <w:p w:rsidR="00A5071F" w:rsidRDefault="00A5071F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562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94C" w:rsidRPr="0058194C" w:rsidRDefault="0058194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194C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D57AE5" w:rsidRDefault="00D57A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42266"/>
    <w:multiLevelType w:val="hybridMultilevel"/>
    <w:tmpl w:val="DC88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4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1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7"/>
  </w:num>
  <w:num w:numId="7">
    <w:abstractNumId w:val="2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15"/>
  </w:num>
  <w:num w:numId="20">
    <w:abstractNumId w:val="9"/>
  </w:num>
  <w:num w:numId="21">
    <w:abstractNumId w:val="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C76"/>
    <w:rsid w:val="00065482"/>
    <w:rsid w:val="00070C79"/>
    <w:rsid w:val="00075116"/>
    <w:rsid w:val="00080131"/>
    <w:rsid w:val="000861F3"/>
    <w:rsid w:val="000878FA"/>
    <w:rsid w:val="000B1379"/>
    <w:rsid w:val="000B7097"/>
    <w:rsid w:val="000D575C"/>
    <w:rsid w:val="000E67D8"/>
    <w:rsid w:val="000E6C91"/>
    <w:rsid w:val="00114373"/>
    <w:rsid w:val="0011680F"/>
    <w:rsid w:val="00133E6F"/>
    <w:rsid w:val="001346D0"/>
    <w:rsid w:val="00135B33"/>
    <w:rsid w:val="00137A71"/>
    <w:rsid w:val="0014303F"/>
    <w:rsid w:val="0016573E"/>
    <w:rsid w:val="00172A55"/>
    <w:rsid w:val="0017417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F3BB3"/>
    <w:rsid w:val="001F67AD"/>
    <w:rsid w:val="00201AF1"/>
    <w:rsid w:val="00210787"/>
    <w:rsid w:val="00214096"/>
    <w:rsid w:val="00214BB6"/>
    <w:rsid w:val="00216B6A"/>
    <w:rsid w:val="00216C1F"/>
    <w:rsid w:val="00220610"/>
    <w:rsid w:val="002210DD"/>
    <w:rsid w:val="00230DD0"/>
    <w:rsid w:val="0024494A"/>
    <w:rsid w:val="002511C5"/>
    <w:rsid w:val="0025143B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E01A3"/>
    <w:rsid w:val="002E4F07"/>
    <w:rsid w:val="002E6432"/>
    <w:rsid w:val="002F3CA9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71B2E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0768"/>
    <w:rsid w:val="004033C4"/>
    <w:rsid w:val="00405EAF"/>
    <w:rsid w:val="00414208"/>
    <w:rsid w:val="0041626A"/>
    <w:rsid w:val="004229E8"/>
    <w:rsid w:val="00422DAC"/>
    <w:rsid w:val="004240C4"/>
    <w:rsid w:val="004247EE"/>
    <w:rsid w:val="004249F5"/>
    <w:rsid w:val="00425619"/>
    <w:rsid w:val="0043013D"/>
    <w:rsid w:val="00433FC7"/>
    <w:rsid w:val="00440A96"/>
    <w:rsid w:val="0044323B"/>
    <w:rsid w:val="004504BE"/>
    <w:rsid w:val="004517EA"/>
    <w:rsid w:val="00455F38"/>
    <w:rsid w:val="00460514"/>
    <w:rsid w:val="00462FFA"/>
    <w:rsid w:val="0046491C"/>
    <w:rsid w:val="0047586B"/>
    <w:rsid w:val="004759FC"/>
    <w:rsid w:val="00476EDC"/>
    <w:rsid w:val="00483486"/>
    <w:rsid w:val="00487D9E"/>
    <w:rsid w:val="00492D29"/>
    <w:rsid w:val="004A0492"/>
    <w:rsid w:val="004C6087"/>
    <w:rsid w:val="004C7679"/>
    <w:rsid w:val="004D0A19"/>
    <w:rsid w:val="004D72D9"/>
    <w:rsid w:val="004E3073"/>
    <w:rsid w:val="004F5DD2"/>
    <w:rsid w:val="00502415"/>
    <w:rsid w:val="00502739"/>
    <w:rsid w:val="00507EF7"/>
    <w:rsid w:val="00514839"/>
    <w:rsid w:val="0051668B"/>
    <w:rsid w:val="00523927"/>
    <w:rsid w:val="005272C6"/>
    <w:rsid w:val="005301A9"/>
    <w:rsid w:val="00530715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53DA"/>
    <w:rsid w:val="0056664B"/>
    <w:rsid w:val="00574A2A"/>
    <w:rsid w:val="005804DB"/>
    <w:rsid w:val="00580888"/>
    <w:rsid w:val="0058194C"/>
    <w:rsid w:val="0058227F"/>
    <w:rsid w:val="0058722B"/>
    <w:rsid w:val="005A5FB4"/>
    <w:rsid w:val="005B1322"/>
    <w:rsid w:val="005B6176"/>
    <w:rsid w:val="005C024D"/>
    <w:rsid w:val="005D2EF1"/>
    <w:rsid w:val="005F0927"/>
    <w:rsid w:val="005F3265"/>
    <w:rsid w:val="00600D61"/>
    <w:rsid w:val="00611539"/>
    <w:rsid w:val="00624BA5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0734"/>
    <w:rsid w:val="006A38AC"/>
    <w:rsid w:val="006A7487"/>
    <w:rsid w:val="006A7FDA"/>
    <w:rsid w:val="006B36DC"/>
    <w:rsid w:val="006B48B5"/>
    <w:rsid w:val="006D3237"/>
    <w:rsid w:val="006D35B1"/>
    <w:rsid w:val="006E0BDA"/>
    <w:rsid w:val="006E2D1D"/>
    <w:rsid w:val="006F576C"/>
    <w:rsid w:val="00700CAA"/>
    <w:rsid w:val="007102F1"/>
    <w:rsid w:val="00712ECE"/>
    <w:rsid w:val="00713064"/>
    <w:rsid w:val="00714DCF"/>
    <w:rsid w:val="00721DB4"/>
    <w:rsid w:val="0072512B"/>
    <w:rsid w:val="007263C0"/>
    <w:rsid w:val="007303B8"/>
    <w:rsid w:val="0073267E"/>
    <w:rsid w:val="00732D6B"/>
    <w:rsid w:val="007410F1"/>
    <w:rsid w:val="00744BA2"/>
    <w:rsid w:val="00745664"/>
    <w:rsid w:val="0078021E"/>
    <w:rsid w:val="007852E1"/>
    <w:rsid w:val="007930AB"/>
    <w:rsid w:val="007A5E77"/>
    <w:rsid w:val="007B1BA0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79F6"/>
    <w:rsid w:val="00824857"/>
    <w:rsid w:val="00827C56"/>
    <w:rsid w:val="008326E5"/>
    <w:rsid w:val="00832804"/>
    <w:rsid w:val="00832BB0"/>
    <w:rsid w:val="00835478"/>
    <w:rsid w:val="008663D4"/>
    <w:rsid w:val="00871778"/>
    <w:rsid w:val="008760B4"/>
    <w:rsid w:val="00880449"/>
    <w:rsid w:val="00882C50"/>
    <w:rsid w:val="00883316"/>
    <w:rsid w:val="0089147C"/>
    <w:rsid w:val="0089211F"/>
    <w:rsid w:val="008A2D2C"/>
    <w:rsid w:val="008A42C6"/>
    <w:rsid w:val="008A4CC0"/>
    <w:rsid w:val="008B07E4"/>
    <w:rsid w:val="008B1516"/>
    <w:rsid w:val="008B3542"/>
    <w:rsid w:val="008C3454"/>
    <w:rsid w:val="008C7624"/>
    <w:rsid w:val="008D712C"/>
    <w:rsid w:val="008F26EF"/>
    <w:rsid w:val="009002D3"/>
    <w:rsid w:val="00907A36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96E66"/>
    <w:rsid w:val="009A1B3D"/>
    <w:rsid w:val="009B125F"/>
    <w:rsid w:val="009C5378"/>
    <w:rsid w:val="009C59A3"/>
    <w:rsid w:val="009D05CC"/>
    <w:rsid w:val="009E7D59"/>
    <w:rsid w:val="009E7DEA"/>
    <w:rsid w:val="009F29B0"/>
    <w:rsid w:val="009F6B80"/>
    <w:rsid w:val="00A27CA5"/>
    <w:rsid w:val="00A341FA"/>
    <w:rsid w:val="00A45723"/>
    <w:rsid w:val="00A46D01"/>
    <w:rsid w:val="00A5071F"/>
    <w:rsid w:val="00A51083"/>
    <w:rsid w:val="00A5309B"/>
    <w:rsid w:val="00A60E63"/>
    <w:rsid w:val="00A65C7F"/>
    <w:rsid w:val="00A70338"/>
    <w:rsid w:val="00A70499"/>
    <w:rsid w:val="00A72F32"/>
    <w:rsid w:val="00A73A39"/>
    <w:rsid w:val="00A73B90"/>
    <w:rsid w:val="00A77AE5"/>
    <w:rsid w:val="00A80C33"/>
    <w:rsid w:val="00A8110C"/>
    <w:rsid w:val="00A83D34"/>
    <w:rsid w:val="00A91A67"/>
    <w:rsid w:val="00A95156"/>
    <w:rsid w:val="00AA20F4"/>
    <w:rsid w:val="00AA23E5"/>
    <w:rsid w:val="00AA7958"/>
    <w:rsid w:val="00AB37FC"/>
    <w:rsid w:val="00AB537F"/>
    <w:rsid w:val="00AC63DF"/>
    <w:rsid w:val="00AC6F73"/>
    <w:rsid w:val="00AD14FE"/>
    <w:rsid w:val="00AD3346"/>
    <w:rsid w:val="00AD3EE7"/>
    <w:rsid w:val="00AF2C33"/>
    <w:rsid w:val="00AF7643"/>
    <w:rsid w:val="00B15FD2"/>
    <w:rsid w:val="00B2609A"/>
    <w:rsid w:val="00B26B24"/>
    <w:rsid w:val="00B26FA0"/>
    <w:rsid w:val="00B30084"/>
    <w:rsid w:val="00B30BCE"/>
    <w:rsid w:val="00B36F97"/>
    <w:rsid w:val="00B51A36"/>
    <w:rsid w:val="00B62F78"/>
    <w:rsid w:val="00B637EB"/>
    <w:rsid w:val="00B64C88"/>
    <w:rsid w:val="00B67CA7"/>
    <w:rsid w:val="00B7177D"/>
    <w:rsid w:val="00B73DA3"/>
    <w:rsid w:val="00B75F23"/>
    <w:rsid w:val="00B7711A"/>
    <w:rsid w:val="00B952E3"/>
    <w:rsid w:val="00BA5B02"/>
    <w:rsid w:val="00BA6D6E"/>
    <w:rsid w:val="00BB229B"/>
    <w:rsid w:val="00BB69D0"/>
    <w:rsid w:val="00BB7513"/>
    <w:rsid w:val="00BC058A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6131C"/>
    <w:rsid w:val="00C84A75"/>
    <w:rsid w:val="00C85F7B"/>
    <w:rsid w:val="00C91258"/>
    <w:rsid w:val="00C97B67"/>
    <w:rsid w:val="00CA69DA"/>
    <w:rsid w:val="00CB0348"/>
    <w:rsid w:val="00CC0B22"/>
    <w:rsid w:val="00CC142A"/>
    <w:rsid w:val="00CC7E90"/>
    <w:rsid w:val="00CD4926"/>
    <w:rsid w:val="00CE464C"/>
    <w:rsid w:val="00CE5BAE"/>
    <w:rsid w:val="00CF068A"/>
    <w:rsid w:val="00D05866"/>
    <w:rsid w:val="00D10FA4"/>
    <w:rsid w:val="00D23393"/>
    <w:rsid w:val="00D2456A"/>
    <w:rsid w:val="00D45591"/>
    <w:rsid w:val="00D57AE5"/>
    <w:rsid w:val="00D61C56"/>
    <w:rsid w:val="00D6553D"/>
    <w:rsid w:val="00D727CE"/>
    <w:rsid w:val="00D739EA"/>
    <w:rsid w:val="00D76908"/>
    <w:rsid w:val="00D82F89"/>
    <w:rsid w:val="00D83411"/>
    <w:rsid w:val="00D86AD4"/>
    <w:rsid w:val="00D90B68"/>
    <w:rsid w:val="00D912C0"/>
    <w:rsid w:val="00DB10E8"/>
    <w:rsid w:val="00DB675A"/>
    <w:rsid w:val="00DB73E6"/>
    <w:rsid w:val="00DC0020"/>
    <w:rsid w:val="00DC5495"/>
    <w:rsid w:val="00DD606E"/>
    <w:rsid w:val="00DE0012"/>
    <w:rsid w:val="00DE0C97"/>
    <w:rsid w:val="00E10BDE"/>
    <w:rsid w:val="00E237AF"/>
    <w:rsid w:val="00E23B9A"/>
    <w:rsid w:val="00E31725"/>
    <w:rsid w:val="00E35609"/>
    <w:rsid w:val="00E36A3F"/>
    <w:rsid w:val="00E4419B"/>
    <w:rsid w:val="00E46A8A"/>
    <w:rsid w:val="00E47E34"/>
    <w:rsid w:val="00E538EE"/>
    <w:rsid w:val="00E547FF"/>
    <w:rsid w:val="00E574C6"/>
    <w:rsid w:val="00E6006F"/>
    <w:rsid w:val="00E6534E"/>
    <w:rsid w:val="00E75824"/>
    <w:rsid w:val="00E8549A"/>
    <w:rsid w:val="00E90B69"/>
    <w:rsid w:val="00E9317F"/>
    <w:rsid w:val="00EA09CE"/>
    <w:rsid w:val="00EB45C9"/>
    <w:rsid w:val="00EB7D3E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C4137"/>
    <w:rsid w:val="00FD3116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77D8-DED2-486B-9572-DBF4C5C7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2023-10-10T08:52:00Z</cp:lastPrinted>
  <dcterms:created xsi:type="dcterms:W3CDTF">2023-10-13T02:44:00Z</dcterms:created>
  <dcterms:modified xsi:type="dcterms:W3CDTF">2023-10-13T02:44:00Z</dcterms:modified>
</cp:coreProperties>
</file>